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pBdr/>
        <w:spacing/>
        <w:ind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Памятка клиенту!</w:t>
      </w:r>
      <w:r>
        <w:rPr>
          <w:rFonts w:ascii="Tahoma" w:hAnsi="Tahoma" w:cs="Tahoma"/>
          <w:b/>
          <w:bCs/>
          <w:sz w:val="40"/>
          <w:szCs w:val="40"/>
        </w:rPr>
      </w:r>
    </w:p>
    <w:p>
      <w:pPr>
        <w:pStyle w:val="681"/>
        <w:pBdr/>
        <w:spacing/>
        <w:ind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Внимание с 01.01.2024 все приборы учета </w:t>
      </w:r>
      <w:r>
        <w:rPr>
          <w:rFonts w:ascii="Tahoma" w:hAnsi="Tahoma" w:cs="Tahoma"/>
          <w:b/>
          <w:bCs/>
          <w:sz w:val="40"/>
          <w:szCs w:val="40"/>
        </w:rPr>
      </w:r>
    </w:p>
    <w:p>
      <w:pPr>
        <w:pStyle w:val="681"/>
        <w:pBdr/>
        <w:spacing/>
        <w:ind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ООО «Декаст» на диагностику и ремонт отправлять только по адресу: Московская область, г.о Ступино, д. Шматово, Индустриальная ул, влд. 8.</w:t>
      </w:r>
      <w:r>
        <w:rPr>
          <w:rFonts w:ascii="Tahoma" w:hAnsi="Tahoma" w:cs="Tahoma"/>
          <w:b/>
          <w:bCs/>
          <w:sz w:val="40"/>
          <w:szCs w:val="40"/>
        </w:rPr>
      </w:r>
    </w:p>
    <w:p>
      <w:pPr>
        <w:pStyle w:val="681"/>
        <w:pBdr/>
        <w:spacing/>
        <w:ind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</w:r>
    </w:p>
    <w:p>
      <w:pPr>
        <w:pStyle w:val="617"/>
        <w:pBdr/>
        <w:shd w:val="clear" w:color="auto" w:fill="ffffff"/>
        <w:spacing w:after="0" w:before="0" w:line="240" w:lineRule="auto"/>
        <w:ind w:firstLine="708"/>
        <w:jc w:val="both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В случае наличия у Вас претензий к качеству продукции ООО «Декаст», Вы вправе обратиться на завод-изготовитель с целью проведения диагностики приобретенного Вами товара. 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</w:r>
    </w:p>
    <w:p>
      <w:pPr>
        <w:pStyle w:val="617"/>
        <w:pBdr/>
        <w:shd w:val="clear" w:color="auto" w:fill="ffffff"/>
        <w:spacing w:after="0" w:before="0" w:line="240" w:lineRule="auto"/>
        <w:ind w:firstLine="708"/>
        <w:jc w:val="both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Прибор перед отправкой должен быть очищен от грязи, необходимо </w:t>
      </w: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наличие паспорта и сопроводительного письма (претензии)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 на имя начальника службы сервиса Астахова А.В. </w:t>
      </w:r>
      <w:r>
        <w:rPr>
          <w:rFonts w:ascii="Tahoma" w:hAnsi="Tahoma" w:eastAsia="Times New Roman" w:cs="Tahoma"/>
          <w:b/>
          <w:bCs/>
          <w:sz w:val="28"/>
          <w:szCs w:val="28"/>
          <w:lang w:val="en-US"/>
        </w:rPr>
        <w:t xml:space="preserve">(</w:t>
      </w:r>
      <w:r>
        <w:rPr>
          <w:rFonts w:ascii="Tahoma" w:hAnsi="Tahoma" w:eastAsia="Times New Roman" w:cs="Tahoma"/>
          <w:b/>
          <w:bCs/>
          <w:sz w:val="28"/>
          <w:szCs w:val="28"/>
          <w:lang w:eastAsia="ru-RU"/>
        </w:rPr>
        <w:t xml:space="preserve">+7 (495) 232-19-30 доб. </w:t>
      </w:r>
      <w:r>
        <w:rPr>
          <w:rFonts w:ascii="Tahoma" w:hAnsi="Tahoma" w:eastAsia="Times New Roman" w:cs="Tahoma"/>
          <w:b/>
          <w:bCs/>
          <w:sz w:val="28"/>
          <w:szCs w:val="28"/>
          <w:lang w:val="en-US"/>
        </w:rPr>
        <w:t xml:space="preserve">140</w:t>
      </w:r>
      <w:r>
        <w:rPr>
          <w:rFonts w:ascii="Tahoma" w:hAnsi="Tahoma" w:eastAsia="Times New Roman" w:cs="Tahoma"/>
          <w:color w:val="000000"/>
          <w:sz w:val="28"/>
          <w:szCs w:val="28"/>
          <w:lang w:val="en-US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8"/>
          <w:szCs w:val="28"/>
          <w:lang w:val="ru-RU"/>
        </w:rPr>
        <w:t xml:space="preserve">вопросы по сервису)</w:t>
      </w:r>
      <w:r>
        <w:rPr>
          <w:rFonts w:ascii="Tahoma" w:hAnsi="Tahoma" w:eastAsia="Times New Roman" w:cs="Tahoma"/>
          <w:color w:val="000000"/>
          <w:sz w:val="28"/>
          <w:szCs w:val="28"/>
          <w:lang w:val="ru-RU"/>
        </w:rPr>
        <w:t xml:space="preserve"> 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с просьбой провести диагностику прибора с указанием характера неисправности. В письме прописать, </w:t>
      </w: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если Вы физическое лицо, ФИО отправителя, контактный телефон, адрес эл. почты,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 последнее по возможности, </w:t>
      </w: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для Юр. лиц: требуется указать название Компании, ИНН, номер телефона, адрес эл. почты и ФИО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 лица с кем, в случае необходимости, свяжется сервисная служба.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</w:r>
    </w:p>
    <w:p>
      <w:pPr>
        <w:pStyle w:val="617"/>
        <w:pBdr/>
        <w:shd w:val="clear" w:color="auto" w:fill="ffffff"/>
        <w:spacing w:after="0" w:before="0" w:line="240" w:lineRule="auto"/>
        <w:ind w:firstLine="708"/>
        <w:jc w:val="both"/>
        <w:rPr>
          <w:rFonts w:ascii="Tahoma" w:hAnsi="Tahoma"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Отправленные</w:t>
      </w: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 приборы в адрес ООО «Декаст» без сопроводительного письма, где прописаны вышеуказанные требования, после 20 дней хранения (срок выяснения отправителя), будут отправлены обратно отправителю согласно накладной от транспортной компании, за счёт получателя!!!</w:t>
      </w:r>
      <w:r>
        <w:rPr>
          <w:rFonts w:ascii="Tahoma" w:hAnsi="Tahoma" w:eastAsia="Times New Roman" w:cs="Tahoma"/>
          <w:b/>
          <w:bCs/>
          <w:color w:val="000000"/>
          <w:sz w:val="28"/>
          <w:szCs w:val="28"/>
          <w:lang w:eastAsia="ru-RU"/>
        </w:rPr>
      </w:r>
    </w:p>
    <w:p>
      <w:pPr>
        <w:pStyle w:val="617"/>
        <w:pBdr/>
        <w:shd w:val="clear" w:color="auto" w:fill="ffffff"/>
        <w:spacing w:after="0" w:before="0" w:line="240" w:lineRule="auto"/>
        <w:ind w:firstLine="708"/>
        <w:jc w:val="both"/>
        <w:rPr>
          <w:rFonts w:ascii="Tahoma" w:hAnsi="Tahoma" w:eastAsia="Times New Roman" w:cs="Tahoma"/>
          <w:color w:val="000000"/>
          <w:sz w:val="28"/>
          <w:szCs w:val="28"/>
          <w:highlight w:val="none"/>
          <w:lang w:eastAsia="ru-RU"/>
        </w:rPr>
      </w:pP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По результатам диагностики будет принято решение по рем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онту либо замене прибора на новый.  Обращаем Ваше внимание, если по результатам диагностики прибор будет признан исправным, либо неисправность произошла по вине потребителя, то диагностика, поверка и транспортировка товара будет осуществляться за Ваш счет.</w:t>
      </w:r>
      <w:r>
        <w:rPr>
          <w:rFonts w:ascii="Tahoma" w:hAnsi="Tahoma" w:eastAsia="Times New Roman" w:cs="Tahoma"/>
          <w:color w:val="000000"/>
          <w:sz w:val="28"/>
          <w:szCs w:val="28"/>
          <w:highlight w:val="none"/>
          <w:lang w:eastAsia="ru-RU"/>
        </w:rPr>
      </w:r>
    </w:p>
    <w:p>
      <w:pPr>
        <w:pStyle w:val="617"/>
        <w:pBdr/>
        <w:shd w:val="clear" w:color="auto" w:fill="ffffff"/>
        <w:spacing w:after="0" w:before="0" w:line="240" w:lineRule="auto"/>
        <w:ind w:firstLine="708"/>
        <w:jc w:val="both"/>
        <w:rPr>
          <w:rFonts w:ascii="Tahoma" w:hAnsi="Tahoma" w:eastAsia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b/>
          <w:bCs/>
          <w:color w:val="000000"/>
          <w:sz w:val="28"/>
          <w:szCs w:val="28"/>
          <w:lang w:eastAsia="ru-RU"/>
        </w:rPr>
      </w:r>
      <w:r>
        <w:rPr>
          <w:rFonts w:ascii="Tahoma" w:hAnsi="Tahoma" w:eastAsia="Times New Roman" w:cs="Tahoma"/>
          <w:b/>
          <w:bCs/>
          <w:color w:val="000000"/>
          <w:sz w:val="28"/>
          <w:szCs w:val="28"/>
          <w:lang w:eastAsia="ru-RU"/>
        </w:rPr>
      </w:r>
    </w:p>
    <w:p>
      <w:pPr>
        <w:pStyle w:val="681"/>
        <w:pBdr/>
        <w:spacing/>
        <w:ind w:firstLine="708" w:left="0"/>
        <w:jc w:val="both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Счётчики воды (от Ду15 до Ду200) Теплосчетчики (Ду15-20)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</w:r>
    </w:p>
    <w:p>
      <w:pPr>
        <w:pStyle w:val="681"/>
        <w:pBdr/>
        <w:spacing/>
        <w:ind w:firstLine="0" w:left="0"/>
        <w:jc w:val="both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</w:r>
      <w:r>
        <w:rPr>
          <w:rFonts w:ascii="Tahoma" w:hAnsi="Tahoma" w:eastAsia="Times New Roman" w:cs="Tahoma"/>
          <w:b/>
          <w:color w:val="000000"/>
          <w:sz w:val="28"/>
          <w:szCs w:val="28"/>
          <w:lang w:eastAsia="ru-RU"/>
        </w:rPr>
        <w:t xml:space="preserve">и «Умные приборы»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 Вы можете отправить транспортной компанией, </w:t>
        <w:br/>
        <w:t xml:space="preserve">ТК "Деловые линии", СДЭК либо КИТ.ТК в гарантийный период за счет завода-изготовителя по адресу: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</w:r>
      <w:r/>
    </w:p>
    <w:p>
      <w:pPr>
        <w:pStyle w:val="681"/>
        <w:pBdr/>
        <w:spacing/>
        <w:ind w:firstLine="0" w:left="0"/>
        <w:jc w:val="both"/>
        <w:rPr>
          <w:rFonts w:ascii="Tahoma" w:hAnsi="Tahoma" w:eastAsia="Times New Roman" w:cs="Tahoma"/>
          <w:color w:val="000000"/>
          <w:sz w:val="28"/>
          <w:szCs w:val="28"/>
          <w:lang w:eastAsia="ru-RU"/>
        </w:rPr>
      </w:pP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ООО "Декаст", ИНН </w:t>
      </w:r>
      <w:r>
        <w:rPr>
          <w:rFonts w:ascii="Tahoma" w:hAnsi="Tahoma" w:eastAsia="Times New Roman" w:cs="Tahoma"/>
          <w:sz w:val="28"/>
          <w:szCs w:val="28"/>
          <w:lang w:eastAsia="ru-RU"/>
        </w:rPr>
        <w:t xml:space="preserve">7705647495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, 142821, Московская область, г.о Ступино, д. Шматово, Индустриальная ул, влд. 8.</w:t>
      </w:r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</w:r>
    </w:p>
    <w:p>
      <w:pPr>
        <w:pStyle w:val="681"/>
        <w:pBdr/>
        <w:spacing/>
        <w:ind w:firstLine="0" w:left="0"/>
        <w:jc w:val="both"/>
        <w:rPr/>
      </w:pPr>
      <w:r/>
      <w:hyperlink r:id="rId8" w:tooltip="mailto:service@decast.com" w:history="1">
        <w:r>
          <w:rPr>
            <w:rFonts w:ascii="Tahoma" w:hAnsi="Tahoma" w:eastAsia="Times New Roman" w:cs="Tahoma"/>
            <w:sz w:val="28"/>
            <w:szCs w:val="28"/>
            <w:lang w:eastAsia="ru-RU"/>
          </w:rPr>
          <w:t xml:space="preserve">service@decast.com</w:t>
        </w:r>
      </w:hyperlink>
      <w:r>
        <w:rPr>
          <w:rFonts w:ascii="Tahoma" w:hAnsi="Tahoma" w:eastAsia="Times New Roman" w:cs="Tahoma"/>
          <w:color w:val="000000"/>
          <w:sz w:val="28"/>
          <w:szCs w:val="28"/>
          <w:lang w:eastAsia="ru-RU"/>
        </w:rPr>
        <w:t xml:space="preserve">, </w:t>
      </w:r>
      <w:r>
        <w:rPr>
          <w:rFonts w:ascii="Tahoma" w:hAnsi="Tahoma" w:eastAsia="Times New Roman" w:cs="Tahoma"/>
          <w:sz w:val="28"/>
          <w:szCs w:val="28"/>
          <w:lang w:eastAsia="ru-RU"/>
        </w:rPr>
        <w:t xml:space="preserve">тел.: +7 (495) 232-19-30 доб. 405 (указывать для транспортных компаний) </w:t>
      </w:r>
      <w:r>
        <w:rPr>
          <w:rFonts w:ascii="Tahoma" w:hAnsi="Tahoma" w:eastAsia="Times New Roman" w:cs="Tahoma"/>
          <w:sz w:val="28"/>
          <w:szCs w:val="28"/>
          <w:lang w:eastAsia="ru-RU"/>
        </w:rPr>
        <w:t xml:space="preserve">контактное лицо: </w:t>
      </w:r>
      <w:r>
        <w:rPr>
          <w:rFonts w:ascii="Tahoma" w:hAnsi="Tahoma" w:eastAsia="Times New Roman" w:cs="Tahoma"/>
          <w:sz w:val="28"/>
          <w:szCs w:val="28"/>
          <w:lang w:eastAsia="ru-RU"/>
        </w:rPr>
        <w:t xml:space="preserve">Урядникова Юлия.</w:t>
      </w:r>
      <w:r>
        <w:rPr>
          <w:rFonts w:ascii="Tahoma" w:hAnsi="Tahoma" w:eastAsia="Times New Roman" w:cs="Tahoma"/>
          <w:sz w:val="28"/>
          <w:szCs w:val="28"/>
          <w:lang w:eastAsia="ru-RU"/>
        </w:rPr>
      </w:r>
      <w:r/>
      <w:r/>
    </w:p>
    <w:sectPr>
      <w:footnotePr/>
      <w:endnotePr/>
      <w:type w:val="nextPage"/>
      <w:pgSz w:h="16838" w:orient="landscape" w:w="11906"/>
      <w:pgMar w:top="720" w:right="556" w:bottom="720" w:left="437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177">
    <w:name w:val="footnote reference"/>
    <w:basedOn w:val="649"/>
    <w:uiPriority w:val="99"/>
    <w:unhideWhenUsed/>
    <w:pPr>
      <w:pBdr/>
      <w:spacing/>
      <w:ind/>
    </w:pPr>
    <w:rPr>
      <w:vertAlign w:val="superscript"/>
    </w:rPr>
  </w:style>
  <w:style w:type="character" w:styleId="180">
    <w:name w:val="endnote reference"/>
    <w:basedOn w:val="649"/>
    <w:uiPriority w:val="99"/>
    <w:semiHidden/>
    <w:unhideWhenUsed/>
    <w:pPr>
      <w:pBdr/>
      <w:spacing/>
      <w:ind/>
    </w:pPr>
    <w:rPr>
      <w:vertAlign w:val="superscript"/>
    </w:rPr>
  </w:style>
  <w:style w:type="paragraph" w:styleId="617" w:default="1">
    <w:name w:val="Normal"/>
    <w:qFormat/>
    <w:pPr>
      <w:widowControl w:val="true"/>
      <w:pBdr/>
      <w:spacing w:after="160" w:afterAutospacing="0" w:before="0" w:beforeAutospacing="0" w:line="259" w:lineRule="auto"/>
      <w:ind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18">
    <w:name w:val="Heading 1"/>
    <w:basedOn w:val="61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19">
    <w:name w:val="Heading 2"/>
    <w:basedOn w:val="61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20">
    <w:name w:val="Heading 3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21">
    <w:name w:val="Heading 4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2">
    <w:name w:val="Heading 5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3">
    <w:name w:val="Heading 6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4">
    <w:name w:val="Heading 7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5">
    <w:name w:val="Heading 8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6">
    <w:name w:val="Heading 9"/>
    <w:basedOn w:val="61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7">
    <w:name w:val="Heading 1 Char"/>
    <w:basedOn w:val="649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28">
    <w:name w:val="Heading 2 Char"/>
    <w:basedOn w:val="649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629">
    <w:name w:val="Heading 3 Char"/>
    <w:basedOn w:val="649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30">
    <w:name w:val="Heading 4 Char"/>
    <w:basedOn w:val="649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31">
    <w:name w:val="Heading 5 Char"/>
    <w:basedOn w:val="649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32">
    <w:name w:val="Heading 6 Char"/>
    <w:basedOn w:val="649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33">
    <w:name w:val="Heading 7 Char"/>
    <w:basedOn w:val="649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34">
    <w:name w:val="Heading 8 Char"/>
    <w:basedOn w:val="649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35">
    <w:name w:val="Heading 9 Char"/>
    <w:basedOn w:val="649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36">
    <w:name w:val="Title Char"/>
    <w:basedOn w:val="649"/>
    <w:uiPriority w:val="10"/>
    <w:qFormat/>
    <w:pPr>
      <w:pBdr/>
      <w:spacing/>
      <w:ind/>
    </w:pPr>
    <w:rPr>
      <w:sz w:val="48"/>
      <w:szCs w:val="48"/>
    </w:rPr>
  </w:style>
  <w:style w:type="character" w:styleId="637">
    <w:name w:val="Subtitle Char"/>
    <w:basedOn w:val="649"/>
    <w:uiPriority w:val="11"/>
    <w:qFormat/>
    <w:pPr>
      <w:pBdr/>
      <w:spacing/>
      <w:ind/>
    </w:pPr>
    <w:rPr>
      <w:sz w:val="24"/>
      <w:szCs w:val="24"/>
    </w:rPr>
  </w:style>
  <w:style w:type="character" w:styleId="638">
    <w:name w:val="Quote Char"/>
    <w:uiPriority w:val="29"/>
    <w:qFormat/>
    <w:pPr>
      <w:pBdr/>
      <w:spacing/>
      <w:ind/>
    </w:pPr>
    <w:rPr>
      <w:i/>
    </w:rPr>
  </w:style>
  <w:style w:type="character" w:styleId="639">
    <w:name w:val="Intense Quote Char"/>
    <w:uiPriority w:val="30"/>
    <w:qFormat/>
    <w:pPr>
      <w:pBdr/>
      <w:spacing/>
      <w:ind/>
    </w:pPr>
    <w:rPr>
      <w:i/>
    </w:rPr>
  </w:style>
  <w:style w:type="character" w:styleId="640">
    <w:name w:val="Header Char"/>
    <w:basedOn w:val="649"/>
    <w:uiPriority w:val="99"/>
    <w:qFormat/>
    <w:pPr>
      <w:pBdr/>
      <w:spacing/>
      <w:ind/>
    </w:pPr>
  </w:style>
  <w:style w:type="character" w:styleId="641">
    <w:name w:val="Footer Char"/>
    <w:basedOn w:val="649"/>
    <w:uiPriority w:val="99"/>
    <w:qFormat/>
    <w:pPr>
      <w:pBdr/>
      <w:spacing/>
      <w:ind/>
    </w:pPr>
  </w:style>
  <w:style w:type="character" w:styleId="642">
    <w:name w:val="Caption Char"/>
    <w:uiPriority w:val="99"/>
    <w:qFormat/>
    <w:pPr>
      <w:pBdr/>
      <w:spacing/>
      <w:ind/>
    </w:pPr>
  </w:style>
  <w:style w:type="character" w:styleId="643">
    <w:name w:val="Footnote Text Char"/>
    <w:uiPriority w:val="99"/>
    <w:qFormat/>
    <w:pPr>
      <w:pBdr/>
      <w:spacing/>
      <w:ind/>
    </w:pPr>
    <w:rPr>
      <w:sz w:val="18"/>
    </w:rPr>
  </w:style>
  <w:style w:type="character" w:styleId="644">
    <w:name w:val="Привязка сноски"/>
    <w:pPr>
      <w:pBdr/>
      <w:spacing/>
      <w:ind/>
    </w:pPr>
    <w:rPr>
      <w:vertAlign w:val="superscript"/>
    </w:rPr>
  </w:style>
  <w:style w:type="character" w:styleId="645">
    <w:name w:val="Footnote Characters"/>
    <w:uiPriority w:val="99"/>
    <w:unhideWhenUsed/>
    <w:qFormat/>
    <w:pPr>
      <w:pBdr/>
      <w:spacing/>
      <w:ind/>
    </w:pPr>
    <w:rPr>
      <w:vertAlign w:val="superscript"/>
    </w:rPr>
  </w:style>
  <w:style w:type="character" w:styleId="646">
    <w:name w:val="Endnote Text Char"/>
    <w:uiPriority w:val="99"/>
    <w:qFormat/>
    <w:pPr>
      <w:pBdr/>
      <w:spacing/>
      <w:ind/>
    </w:pPr>
    <w:rPr>
      <w:sz w:val="20"/>
    </w:rPr>
  </w:style>
  <w:style w:type="character" w:styleId="647">
    <w:name w:val="Привязка концевой сноски"/>
    <w:pPr>
      <w:pBdr/>
      <w:spacing/>
      <w:ind/>
    </w:pPr>
    <w:rPr>
      <w:vertAlign w:val="superscript"/>
    </w:rPr>
  </w:style>
  <w:style w:type="character" w:styleId="648">
    <w:name w:val="Endnote Characters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649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650" w:customStyle="1">
    <w:name w:val="wmi-callto"/>
    <w:basedOn w:val="649"/>
    <w:qFormat/>
    <w:pPr>
      <w:pBdr/>
      <w:spacing/>
      <w:ind/>
    </w:pPr>
  </w:style>
  <w:style w:type="character" w:styleId="651" w:customStyle="1">
    <w:name w:val="js-extracted-address"/>
    <w:basedOn w:val="649"/>
    <w:qFormat/>
    <w:pPr>
      <w:pBdr/>
      <w:spacing/>
      <w:ind/>
    </w:pPr>
  </w:style>
  <w:style w:type="character" w:styleId="652" w:customStyle="1">
    <w:name w:val="mail-message-map-nobreak"/>
    <w:basedOn w:val="649"/>
    <w:qFormat/>
    <w:pPr>
      <w:pBdr/>
      <w:spacing/>
      <w:ind/>
    </w:pPr>
  </w:style>
  <w:style w:type="character" w:styleId="653">
    <w:name w:val="Интернет-ссылка"/>
    <w:basedOn w:val="649"/>
    <w:uiPriority w:val="99"/>
    <w:unhideWhenUsed/>
    <w:pPr>
      <w:pBdr/>
      <w:spacing/>
      <w:ind/>
    </w:pPr>
    <w:rPr>
      <w:color w:val="0000ff"/>
      <w:u w:val="single"/>
    </w:rPr>
  </w:style>
  <w:style w:type="character" w:styleId="654" w:customStyle="1">
    <w:name w:val="Неразрешенное упоминание1"/>
    <w:basedOn w:val="649"/>
    <w:uiPriority w:val="99"/>
    <w:semiHidden/>
    <w:unhideWhenUsed/>
    <w:qFormat/>
    <w:pPr>
      <w:pBdr/>
      <w:spacing/>
      <w:ind/>
    </w:pPr>
    <w:rPr>
      <w:color w:val="605e5c"/>
      <w:shd w:val="clear" w:color="auto" w:fill="e1dfdd"/>
    </w:rPr>
  </w:style>
  <w:style w:type="paragraph" w:styleId="655">
    <w:name w:val="Заголовок"/>
    <w:basedOn w:val="617"/>
    <w:next w:val="656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656">
    <w:name w:val="Body Text"/>
    <w:basedOn w:val="617"/>
    <w:pPr>
      <w:pBdr/>
      <w:spacing w:after="140" w:before="0" w:line="276" w:lineRule="auto"/>
      <w:ind/>
    </w:pPr>
  </w:style>
  <w:style w:type="paragraph" w:styleId="657">
    <w:name w:val="List"/>
    <w:basedOn w:val="656"/>
    <w:pPr>
      <w:pBdr/>
      <w:spacing/>
      <w:ind/>
    </w:pPr>
    <w:rPr>
      <w:rFonts w:cs="Lucida Sans"/>
    </w:rPr>
  </w:style>
  <w:style w:type="paragraph" w:styleId="658">
    <w:name w:val="Caption"/>
    <w:basedOn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paragraph" w:styleId="659">
    <w:name w:val="Указатель"/>
    <w:basedOn w:val="617"/>
    <w:qFormat/>
    <w:pPr>
      <w:suppressLineNumbers w:val="true"/>
      <w:pBdr/>
      <w:spacing/>
      <w:ind/>
    </w:pPr>
    <w:rPr>
      <w:rFonts w:cs="Lucida Sans"/>
    </w:rPr>
  </w:style>
  <w:style w:type="paragraph" w:styleId="660">
    <w:name w:val="Title"/>
    <w:basedOn w:val="61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paragraph" w:styleId="661">
    <w:name w:val="Subtitle"/>
    <w:basedOn w:val="617"/>
    <w:uiPriority w:val="11"/>
    <w:qFormat/>
    <w:pPr>
      <w:pBdr/>
      <w:spacing w:after="200" w:before="200"/>
      <w:ind/>
    </w:pPr>
    <w:rPr>
      <w:sz w:val="24"/>
      <w:szCs w:val="24"/>
    </w:rPr>
  </w:style>
  <w:style w:type="paragraph" w:styleId="662">
    <w:name w:val="Quote"/>
    <w:basedOn w:val="617"/>
    <w:uiPriority w:val="29"/>
    <w:qFormat/>
    <w:pPr>
      <w:pBdr/>
      <w:spacing/>
      <w:ind w:right="720" w:firstLine="0" w:left="720"/>
    </w:pPr>
    <w:rPr>
      <w:i/>
    </w:rPr>
  </w:style>
  <w:style w:type="paragraph" w:styleId="663">
    <w:name w:val="Intense Quote"/>
    <w:basedOn w:val="61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after="160" w:before="0"/>
      <w:ind w:right="720" w:firstLine="0" w:left="720"/>
    </w:pPr>
    <w:rPr>
      <w:i/>
    </w:rPr>
  </w:style>
  <w:style w:type="paragraph" w:styleId="664">
    <w:name w:val="Колонтитул"/>
    <w:basedOn w:val="617"/>
    <w:qFormat/>
    <w:pPr>
      <w:pBdr/>
      <w:spacing/>
      <w:ind/>
    </w:pPr>
  </w:style>
  <w:style w:type="paragraph" w:styleId="665">
    <w:name w:val="Header"/>
    <w:basedOn w:val="617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666">
    <w:name w:val="Footer"/>
    <w:basedOn w:val="617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667">
    <w:name w:val="footnote text"/>
    <w:basedOn w:val="617"/>
    <w:uiPriority w:val="99"/>
    <w:semiHidden/>
    <w:unhideWhenUsed/>
    <w:pPr>
      <w:pBdr/>
      <w:spacing w:after="40" w:before="0" w:line="240" w:lineRule="auto"/>
      <w:ind/>
    </w:pPr>
    <w:rPr>
      <w:sz w:val="18"/>
    </w:rPr>
  </w:style>
  <w:style w:type="paragraph" w:styleId="668">
    <w:name w:val="endnote text"/>
    <w:basedOn w:val="617"/>
    <w:uiPriority w:val="99"/>
    <w:semiHidden/>
    <w:unhideWhenUsed/>
    <w:pPr>
      <w:pBdr/>
      <w:spacing w:after="0" w:before="0" w:line="240" w:lineRule="auto"/>
      <w:ind/>
    </w:pPr>
    <w:rPr>
      <w:sz w:val="20"/>
    </w:rPr>
  </w:style>
  <w:style w:type="paragraph" w:styleId="669">
    <w:name w:val="toc 1"/>
    <w:basedOn w:val="617"/>
    <w:uiPriority w:val="39"/>
    <w:unhideWhenUsed/>
    <w:pPr>
      <w:pBdr/>
      <w:spacing w:after="57" w:before="0"/>
      <w:ind w:right="0" w:firstLine="0" w:left="0"/>
    </w:pPr>
  </w:style>
  <w:style w:type="paragraph" w:styleId="670">
    <w:name w:val="toc 2"/>
    <w:basedOn w:val="617"/>
    <w:uiPriority w:val="39"/>
    <w:unhideWhenUsed/>
    <w:pPr>
      <w:pBdr/>
      <w:spacing w:after="57" w:before="0"/>
      <w:ind w:right="0" w:firstLine="0" w:left="283"/>
    </w:pPr>
  </w:style>
  <w:style w:type="paragraph" w:styleId="671">
    <w:name w:val="toc 3"/>
    <w:basedOn w:val="617"/>
    <w:uiPriority w:val="39"/>
    <w:unhideWhenUsed/>
    <w:pPr>
      <w:pBdr/>
      <w:spacing w:after="57" w:before="0"/>
      <w:ind w:right="0" w:firstLine="0" w:left="567"/>
    </w:pPr>
  </w:style>
  <w:style w:type="paragraph" w:styleId="672">
    <w:name w:val="toc 4"/>
    <w:basedOn w:val="617"/>
    <w:uiPriority w:val="39"/>
    <w:unhideWhenUsed/>
    <w:pPr>
      <w:pBdr/>
      <w:spacing w:after="57" w:before="0"/>
      <w:ind w:right="0" w:firstLine="0" w:left="850"/>
    </w:pPr>
  </w:style>
  <w:style w:type="paragraph" w:styleId="673">
    <w:name w:val="toc 5"/>
    <w:basedOn w:val="617"/>
    <w:uiPriority w:val="39"/>
    <w:unhideWhenUsed/>
    <w:pPr>
      <w:pBdr/>
      <w:spacing w:after="57" w:before="0"/>
      <w:ind w:right="0" w:firstLine="0" w:left="1134"/>
    </w:pPr>
  </w:style>
  <w:style w:type="paragraph" w:styleId="674">
    <w:name w:val="toc 6"/>
    <w:basedOn w:val="617"/>
    <w:uiPriority w:val="39"/>
    <w:unhideWhenUsed/>
    <w:pPr>
      <w:pBdr/>
      <w:spacing w:after="57" w:before="0"/>
      <w:ind w:right="0" w:firstLine="0" w:left="1417"/>
    </w:pPr>
  </w:style>
  <w:style w:type="paragraph" w:styleId="675">
    <w:name w:val="toc 7"/>
    <w:basedOn w:val="617"/>
    <w:uiPriority w:val="39"/>
    <w:unhideWhenUsed/>
    <w:pPr>
      <w:pBdr/>
      <w:spacing w:after="57" w:before="0"/>
      <w:ind w:right="0" w:firstLine="0" w:left="1701"/>
    </w:pPr>
  </w:style>
  <w:style w:type="paragraph" w:styleId="676">
    <w:name w:val="toc 8"/>
    <w:basedOn w:val="617"/>
    <w:uiPriority w:val="39"/>
    <w:unhideWhenUsed/>
    <w:pPr>
      <w:pBdr/>
      <w:spacing w:after="57" w:before="0"/>
      <w:ind w:right="0" w:firstLine="0" w:left="1984"/>
    </w:pPr>
  </w:style>
  <w:style w:type="paragraph" w:styleId="677">
    <w:name w:val="toc 9"/>
    <w:basedOn w:val="617"/>
    <w:uiPriority w:val="39"/>
    <w:unhideWhenUsed/>
    <w:pPr>
      <w:pBdr/>
      <w:spacing w:after="57" w:before="0"/>
      <w:ind w:right="0" w:firstLine="0" w:left="2268"/>
    </w:pPr>
  </w:style>
  <w:style w:type="paragraph" w:styleId="678">
    <w:name w:val="Index Heading"/>
    <w:basedOn w:val="655"/>
    <w:pPr>
      <w:pBdr/>
      <w:spacing/>
      <w:ind/>
    </w:pPr>
  </w:style>
  <w:style w:type="paragraph" w:styleId="679">
    <w:name w:val="TOC Heading"/>
    <w:uiPriority w:val="39"/>
    <w:unhideWhenUsed/>
    <w:pPr>
      <w:widowControl w:val="true"/>
      <w:pBdr/>
      <w:spacing w:after="160" w:afterAutospacing="0" w:before="0" w:beforeAutospacing="0" w:line="259" w:lineRule="auto"/>
      <w:ind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80">
    <w:name w:val="table of figures"/>
    <w:basedOn w:val="617"/>
    <w:uiPriority w:val="99"/>
    <w:unhideWhenUsed/>
    <w:qFormat/>
    <w:pPr>
      <w:pBdr/>
      <w:spacing w:after="0" w:afterAutospacing="0" w:before="0"/>
      <w:ind/>
    </w:pPr>
  </w:style>
  <w:style w:type="paragraph" w:styleId="681">
    <w:name w:val="No Spacing"/>
    <w:uiPriority w:val="1"/>
    <w:qFormat/>
    <w:pPr>
      <w:widowControl w:val="true"/>
      <w:pBdr/>
      <w:spacing w:after="0" w:afterAutospacing="0" w:before="0" w:beforeAutospacing="0" w:line="240" w:lineRule="auto"/>
      <w:ind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82">
    <w:name w:val="List Paragraph"/>
    <w:basedOn w:val="617"/>
    <w:uiPriority w:val="34"/>
    <w:qFormat/>
    <w:pPr>
      <w:pBdr/>
      <w:spacing w:after="160" w:before="0"/>
      <w:ind w:firstLine="0" w:left="720"/>
      <w:contextualSpacing w:val="true"/>
    </w:pPr>
  </w:style>
  <w:style w:type="numbering" w:styleId="683" w:default="1">
    <w:name w:val="No List"/>
    <w:uiPriority w:val="99"/>
    <w:semiHidden/>
    <w:unhideWhenUsed/>
    <w:qFormat/>
    <w:pPr>
      <w:pBdr/>
      <w:spacing/>
      <w:ind/>
    </w:pPr>
  </w:style>
  <w:style w:type="table" w:styleId="749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service@decas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Курасов</dc:creator>
  <dc:description/>
  <dc:language>ru-RU</dc:language>
  <cp:revision>5</cp:revision>
  <dcterms:created xsi:type="dcterms:W3CDTF">2023-12-06T11:17:00Z</dcterms:created>
  <dcterms:modified xsi:type="dcterms:W3CDTF">2024-02-01T13:38:57Z</dcterms:modified>
</cp:coreProperties>
</file>